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Утверждаю» 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jc w:val="right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Генеральный директор 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jc w:val="right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ООО «Центр стоматологии «Голливуд»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jc w:val="right"/>
        <w:rPr>
          <w:rStyle w:val="UserStyle_99"/>
          <w:rFonts w:cs="Times New Roman"/>
          <w:sz w:val="24"/>
          <w:szCs w:val="24"/>
          <w:vertAlign w:val="superscript"/>
        </w:rPr>
      </w:pPr>
      <w:r>
        <w:rPr>
          <w:rStyle w:val="UserStyle_99"/>
          <w:rFonts w:cs="Times New Roman"/>
          <w:sz w:val="24"/>
          <w:szCs w:val="24"/>
        </w:rPr>
        <w:t xml:space="preserve">________________________</w:t>
      </w:r>
      <w:r>
        <w:rPr>
          <w:rStyle w:val="UserStyle_99"/>
          <w:rFonts w:cs="Times New Roman"/>
          <w:sz w:val="24"/>
          <w:szCs w:val="24"/>
          <w:vertAlign w:val="superscript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UserStyle_99"/>
          <w:rFonts w:cs="Times New Roman"/>
          <w:sz w:val="24"/>
          <w:szCs w:val="24"/>
          <w:vertAlign w:val="superscript"/>
        </w:rPr>
        <w:t xml:space="preserve">Подпись                    Дата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10"/>
        <w:widowControl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10"/>
        <w:widowControl/>
        <w:ind w:left="0" w:right="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№1</w:t>
      </w:r>
    </w:p>
    <w:p>
      <w:pPr>
        <w:pStyle w:val="Normal"/>
        <w:jc w:val="right"/>
      </w:pPr>
      <w:r>
        <w:t xml:space="preserve">к приказу  №  04/05/18-1  от  04 мая 2018года</w:t>
      </w:r>
    </w:p>
    <w:p>
      <w:pPr>
        <w:pStyle w:val="Normal"/>
        <w:jc w:val="right"/>
      </w:pPr>
    </w:p>
    <w:p>
      <w:pPr>
        <w:pStyle w:val="Normal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 xml:space="preserve">Правила, порядки, условия, формы оказания </w:t>
      </w:r>
      <w:r>
        <w:rPr>
          <w:b/>
          <w:sz w:val="32"/>
        </w:rPr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 xml:space="preserve">медицинских услуг и их оплаты </w:t>
      </w:r>
      <w:r>
        <w:rPr>
          <w:b/>
          <w:sz w:val="32"/>
        </w:rPr>
      </w:r>
    </w:p>
    <w:p>
      <w:pPr>
        <w:pStyle w:val="Normal"/>
        <w:jc w:val="center"/>
      </w:pPr>
      <w:r>
        <w:rPr>
          <w:b/>
          <w:sz w:val="32"/>
        </w:rPr>
        <w:t xml:space="preserve">в ООО «Центр стоматологии «Голливуд»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 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right"/>
      </w:pPr>
    </w:p>
    <w:p>
      <w:pPr>
        <w:pStyle w:val="Normal"/>
        <w:pageBreakBefore/>
        <w:jc w:val="center"/>
      </w:pPr>
    </w:p>
    <w:p>
      <w:pPr>
        <w:pStyle w:val="Normal"/>
        <w:numPr>
          <w:numId w:val="2"/>
          <w:ilvl w:val="0"/>
        </w:numPr>
        <w:jc w:val="center"/>
      </w:pPr>
      <w:r>
        <w:t xml:space="preserve">ОБЩИЕ ПОЛОЖЕНИЯ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ООО «</w:t>
      </w:r>
      <w:r>
        <w:rPr>
          <w:rStyle w:val="UserStyle_99"/>
          <w:rFonts w:cs="Times New Roman"/>
          <w:sz w:val="24"/>
          <w:szCs w:val="24"/>
        </w:rPr>
        <w:t xml:space="preserve">Центр стоматологии «Голливуд</w:t>
      </w:r>
      <w:r>
        <w:t xml:space="preserve">» (далее по тексту – Клиника).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2012 г. N 1006 "Об утверждении Правил предоставления медицинскими организациями платных медицинских услуг"), </w:t>
      </w:r>
      <w:r>
        <w:rPr>
          <w:color w:val="000000"/>
        </w:rPr>
        <w:t xml:space="preserve">Федеральным законом N 323-ФЗ "Об основах охраны здоровья граждан в Российской Федерации".</w:t>
      </w:r>
    </w:p>
    <w:p>
      <w:pPr>
        <w:pStyle w:val="Normal"/>
        <w:ind w:left="360" w:right="0" w:firstLine="0"/>
        <w:jc w:val="both"/>
      </w:pPr>
    </w:p>
    <w:p>
      <w:pPr>
        <w:pStyle w:val="Normal"/>
        <w:numPr>
          <w:numId w:val="2"/>
          <w:ilvl w:val="0"/>
        </w:numPr>
        <w:jc w:val="center"/>
      </w:pPr>
      <w:r>
        <w:t xml:space="preserve">ОБЩИЕ ПРАВИЛА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 </w:t>
      </w:r>
    </w:p>
    <w:p>
      <w:pPr>
        <w:pStyle w:val="Normal"/>
        <w:numPr>
          <w:numId w:val="2"/>
          <w:ilvl w:val="1"/>
        </w:numPr>
        <w:jc w:val="both"/>
      </w:pPr>
      <w:r>
        <w:t xml:space="preserve">Лечащим врачом, то есть врачом, оказывающим медицинскую помощь пациенту в период его наблюдения и лечения в Клинике, является врач определенной стоматологической специальности, в зависимости от причины обращения пациента за медицинской помощью.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Лечащий врач назначается по выбору пациента или специалистами регистратуры по согласованию с пациентом.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Медицинские услуги оказываются пациентам на платной основе.</w:t>
      </w:r>
    </w:p>
    <w:p>
      <w:pPr>
        <w:pStyle w:val="Normal"/>
        <w:jc w:val="both"/>
      </w:pPr>
    </w:p>
    <w:p>
      <w:pPr>
        <w:pStyle w:val="Normal"/>
        <w:numPr>
          <w:numId w:val="2"/>
          <w:ilvl w:val="0"/>
        </w:numPr>
        <w:jc w:val="center"/>
      </w:pPr>
      <w:r>
        <w:t xml:space="preserve"> ВРЕМЯ РАБОТЫ 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Клиника работает с 8</w:t>
      </w:r>
      <w:r>
        <w:rPr>
          <w:vertAlign w:val="superscript"/>
        </w:rPr>
        <w:t xml:space="preserve">00</w:t>
      </w:r>
      <w:r>
        <w:t xml:space="preserve"> до 20</w:t>
      </w:r>
      <w:r>
        <w:rPr>
          <w:vertAlign w:val="superscript"/>
        </w:rPr>
        <w:t xml:space="preserve">00</w:t>
      </w:r>
      <w:r>
        <w:t xml:space="preserve"> часа в будние дни и субботы. Воскресенье – с 9.00</w:t>
      </w:r>
      <w:r>
        <w:rPr>
          <w:vertAlign w:val="superscript"/>
        </w:rPr>
        <w:t xml:space="preserve">00</w:t>
      </w:r>
      <w:r>
        <w:t xml:space="preserve"> до 18</w:t>
      </w:r>
      <w:r>
        <w:rPr>
          <w:vertAlign w:val="superscript"/>
        </w:rPr>
        <w:t xml:space="preserve">00</w:t>
      </w:r>
      <w:r>
        <w:t xml:space="preserve"> часов. </w:t>
      </w:r>
    </w:p>
    <w:p>
      <w:pPr>
        <w:pStyle w:val="Normal"/>
        <w:numPr>
          <w:numId w:val="2"/>
          <w:ilvl w:val="1"/>
        </w:numPr>
        <w:jc w:val="both"/>
      </w:pPr>
      <w:r>
        <w:t xml:space="preserve">В праздничные дни режим работы регламентируется приказом главного врача.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Приём врачей всех специальностей осуществляется по скользящему графику, составляемому и  утверждаемому главным врачом.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Информация о фамилии, имени, отчестве, специальности и  квалификации специалистов находится в регистратуре.</w:t>
      </w:r>
    </w:p>
    <w:p>
      <w:pPr>
        <w:pStyle w:val="Normal"/>
      </w:pPr>
    </w:p>
    <w:p>
      <w:pPr>
        <w:pStyle w:val="Normal"/>
        <w:numPr>
          <w:numId w:val="2"/>
          <w:ilvl w:val="0"/>
        </w:numPr>
        <w:jc w:val="center"/>
      </w:pPr>
      <w:r>
        <w:t xml:space="preserve">ПОРЯДОК ОБРАЩЕНИЯ ПАЦИЕНТОВ</w:t>
      </w:r>
    </w:p>
    <w:p>
      <w:pPr>
        <w:pStyle w:val="Normal"/>
        <w:numPr>
          <w:numId w:val="2"/>
          <w:ilvl w:val="1"/>
        </w:numPr>
        <w:jc w:val="both"/>
      </w:pPr>
      <w:r>
        <w:t xml:space="preserve">Запись пациента на амбулаторный приём к врачу осуществляется в регистратуре и по телефону 8(831) 422-4555;</w:t>
      </w:r>
    </w:p>
    <w:p>
      <w:pPr>
        <w:pStyle w:val="Normal"/>
        <w:numPr>
          <w:numId w:val="2"/>
          <w:ilvl w:val="1"/>
        </w:numPr>
        <w:jc w:val="both"/>
      </w:pPr>
      <w:r>
        <w:t xml:space="preserve">При первичном обращении в Клинику Пациент должен предъявить документа, удостоверяющий личность.</w:t>
      </w:r>
    </w:p>
    <w:p>
      <w:pPr>
        <w:pStyle w:val="Normal"/>
        <w:jc w:val="both"/>
      </w:pPr>
    </w:p>
    <w:p>
      <w:pPr>
        <w:pStyle w:val="Normal"/>
        <w:numPr>
          <w:numId w:val="2"/>
          <w:ilvl w:val="1"/>
        </w:numPr>
        <w:jc w:val="both"/>
      </w:pPr>
      <w:r>
        <w:t xml:space="preserve">При наличии показаний лечащий врач направляет пациента на стационарное лечение в городские больничные учреждения.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Повторный приём пациента осуществляется в день и время, назначенное врачом.  Неявка на приём в назначенный день влечет правовые последствия в соответствие с договором на оказание платных медицинских услуг.</w:t>
      </w:r>
    </w:p>
    <w:p>
      <w:pPr>
        <w:pStyle w:val="Normal"/>
        <w:numPr>
          <w:numId w:val="2"/>
          <w:ilvl w:val="1"/>
        </w:numPr>
      </w:pPr>
      <w:r>
        <w:t xml:space="preserve"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>
      <w:pPr>
        <w:pStyle w:val="Normal"/>
        <w:ind w:left="360" w:right="0" w:firstLine="0"/>
      </w:pPr>
    </w:p>
    <w:p>
      <w:pPr>
        <w:pStyle w:val="Normal"/>
        <w:numPr>
          <w:numId w:val="2"/>
          <w:ilvl w:val="0"/>
        </w:numPr>
        <w:jc w:val="center"/>
      </w:pPr>
      <w:r>
        <w:t xml:space="preserve">ПРАВА ПАЦИЕНТА  </w:t>
      </w:r>
    </w:p>
    <w:p>
      <w:pPr>
        <w:pStyle w:val="Normal"/>
        <w:numPr>
          <w:numId w:val="2"/>
          <w:ilvl w:val="1"/>
        </w:numPr>
        <w:jc w:val="both"/>
        <w:rPr>
          <w:rStyle w:val="UserStyle_100"/>
        </w:rPr>
      </w:pPr>
      <w:r>
        <w:t xml:space="preserve"> При обращении в Клинику </w:t>
      </w:r>
      <w:r>
        <w:rPr>
          <w:rStyle w:val="UserStyle_100"/>
        </w:rPr>
        <w:t xml:space="preserve">Пациент имеет право на: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выбор лечащего врача;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профилактику, диагностику, лечение, медицинскую реабилитацию в условиях, соответствующих санитарно-гигиеническим требованиям;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получение консультаций врачей-специалистов;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защиту сведений, составляющих врачебную тайну;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отказ от медицинского вмешательства;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возмещение вреда, причиненного здоровью при оказании ему медицинской помощи;</w:t>
      </w:r>
      <w:r>
        <w:rPr>
          <w:rStyle w:val="UserStyle_100"/>
        </w:rPr>
      </w:r>
    </w:p>
    <w:p>
      <w:pPr>
        <w:pStyle w:val="Normal"/>
        <w:numPr>
          <w:numId w:val="3"/>
          <w:ilvl w:val="2"/>
        </w:numPr>
        <w:jc w:val="both"/>
        <w:rPr>
          <w:rStyle w:val="UserStyle_100"/>
        </w:rPr>
      </w:pPr>
      <w:r>
        <w:rPr>
          <w:rStyle w:val="UserStyle_100"/>
        </w:rPr>
        <w:t xml:space="preserve">допуск к нему адвоката или </w:t>
      </w:r>
      <w:r>
        <w:rPr>
          <w:rStyle w:val="UserStyle_101"/>
        </w:rPr>
        <w:t xml:space="preserve">законного представителя</w:t>
      </w:r>
      <w:r>
        <w:rPr>
          <w:rStyle w:val="UserStyle_100"/>
        </w:rPr>
        <w:t xml:space="preserve"> для защиты своих прав, священнослужителя.</w:t>
      </w:r>
      <w:r>
        <w:rPr>
          <w:rStyle w:val="UserStyle_100"/>
        </w:rPr>
      </w:r>
    </w:p>
    <w:p>
      <w:pPr>
        <w:pStyle w:val="Normal"/>
        <w:numPr>
          <w:numId w:val="2"/>
          <w:ilvl w:val="1"/>
        </w:numPr>
        <w:jc w:val="both"/>
      </w:pPr>
      <w:r>
        <w:rPr>
          <w:rStyle w:val="UserStyle_100"/>
        </w:rPr>
        <w:t xml:space="preserve">За реализацию Права пациента в клинике отвечает лечащий врач.</w:t>
      </w:r>
    </w:p>
    <w:p>
      <w:pPr>
        <w:pStyle w:val="Normal"/>
        <w:ind w:left="360" w:right="0" w:firstLine="0"/>
        <w:jc w:val="both"/>
      </w:pPr>
    </w:p>
    <w:p>
      <w:pPr>
        <w:pStyle w:val="Normal"/>
        <w:numPr>
          <w:numId w:val="2"/>
          <w:ilvl w:val="0"/>
        </w:numPr>
        <w:jc w:val="center"/>
      </w:pPr>
      <w:r>
        <w:t xml:space="preserve">ОБЯЗАННОСТИ ПАЦИЕНТА 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Пациент обязан:</w:t>
      </w:r>
    </w:p>
    <w:p>
      <w:pPr>
        <w:pStyle w:val="Normal"/>
        <w:numPr>
          <w:numId w:val="1"/>
          <w:ilvl w:val="2"/>
        </w:numPr>
        <w:jc w:val="both"/>
      </w:pPr>
      <w:r>
        <w:t xml:space="preserve">выполнять настоящие правила внутреннего распорядка;</w:t>
      </w:r>
    </w:p>
    <w:p>
      <w:pPr>
        <w:pStyle w:val="Normal"/>
        <w:numPr>
          <w:numId w:val="1"/>
          <w:ilvl w:val="2"/>
        </w:numPr>
        <w:jc w:val="both"/>
      </w:pPr>
      <w:r>
        <w:t xml:space="preserve">выполнять предписания лечащего врача;</w:t>
      </w:r>
    </w:p>
    <w:p>
      <w:pPr>
        <w:pStyle w:val="Normal"/>
        <w:numPr>
          <w:numId w:val="1"/>
          <w:ilvl w:val="2"/>
        </w:numPr>
        <w:jc w:val="both"/>
      </w:pPr>
      <w:r>
        <w:t xml:space="preserve">соблюдать правила гигиены, санитарные нормы нахождения в медицинском учреждении;</w:t>
      </w:r>
    </w:p>
    <w:p>
      <w:pPr>
        <w:pStyle w:val="Normal"/>
        <w:numPr>
          <w:numId w:val="1"/>
          <w:ilvl w:val="2"/>
        </w:numPr>
        <w:jc w:val="both"/>
      </w:pPr>
      <w:r>
        <w:t xml:space="preserve">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>
      <w:pPr>
        <w:pStyle w:val="Normal"/>
        <w:ind w:left="720" w:right="0" w:firstLine="0"/>
        <w:jc w:val="both"/>
      </w:pPr>
    </w:p>
    <w:p>
      <w:pPr>
        <w:pStyle w:val="Normal"/>
        <w:numPr>
          <w:numId w:val="2"/>
          <w:ilvl w:val="0"/>
        </w:numPr>
        <w:jc w:val="center"/>
      </w:pPr>
      <w:r>
        <w:t xml:space="preserve"> ПОРЯДОК ОКАЗАНИЯ ПЛАТНЫХ МЕДИЦИСКИХ УСЛУГ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Платные медицинские услуги оказываются пациентам по их желанию на основании заключенного с ними Договора.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Порядок оказания платных медицинских услуг:</w:t>
      </w:r>
    </w:p>
    <w:p>
      <w:pPr>
        <w:pStyle w:val="Normal"/>
        <w:numPr>
          <w:numId w:val="2"/>
          <w:ilvl w:val="2"/>
        </w:numPr>
        <w:jc w:val="both"/>
      </w:pPr>
      <w:r>
        <w:t xml:space="preserve">В день записи на первичный приём в регистратуре оформляется медицинская карта пациента, договор на оказание платных медицинских услуг в 2-х экземплярах, необходимые Приложения к договору, согласие на обработку персональных данных.</w:t>
      </w:r>
    </w:p>
    <w:p>
      <w:pPr>
        <w:pStyle w:val="Normal"/>
        <w:numPr>
          <w:numId w:val="2"/>
          <w:ilvl w:val="2"/>
        </w:numPr>
        <w:jc w:val="both"/>
      </w:pPr>
      <w:r>
        <w:t xml:space="preserve">Перед лечением пациентом заполняется Анкета, которая является приложением к договору об оказании платных медицинских услуг и частью медицинской карты пациента. </w:t>
      </w:r>
    </w:p>
    <w:p>
      <w:pPr>
        <w:pStyle w:val="Normal"/>
        <w:numPr>
          <w:numId w:val="2"/>
          <w:ilvl w:val="2"/>
        </w:numPr>
        <w:jc w:val="both"/>
        <w:rPr>
          <w:rStyle w:val="UserStyle_99"/>
          <w:rFonts w:cs="Times New Roman"/>
          <w:sz w:val="24"/>
          <w:szCs w:val="24"/>
        </w:rPr>
      </w:pPr>
      <w:r>
        <w:t xml:space="preserve">В начале приёма лечащий врач производит </w:t>
      </w:r>
      <w:r>
        <w:rPr>
          <w:rStyle w:val="UserStyle_99"/>
          <w:rFonts w:cs="Times New Roman"/>
          <w:sz w:val="24"/>
          <w:szCs w:val="24"/>
        </w:rPr>
        <w:t xml:space="preserve">собеседование и осмотр Пациента, </w:t>
      </w:r>
      <w:r>
        <w:t xml:space="preserve">разъясняет суть диагностики и возможного лечения,</w:t>
      </w:r>
      <w:r>
        <w:rPr>
          <w:rStyle w:val="UserStyle_99"/>
          <w:rFonts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отказа от лечения и предполагаемые результаты лечения, степень риска лечения и возможные осложнения, </w:t>
      </w:r>
      <w:r>
        <w:t xml:space="preserve">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numPr>
          <w:numId w:val="2"/>
          <w:ilvl w:val="2"/>
        </w:numPr>
        <w:jc w:val="both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Подробное описание оказываемых Услуг отражается в Медицинской карте Пациента и Информированном добровольном согласии. 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numPr>
          <w:numId w:val="2"/>
          <w:ilvl w:val="2"/>
        </w:numPr>
        <w:jc w:val="both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Услуги оказываются персоналом Клиники (врачами и средним медицинским персоналом) в помещении, на оборудовании и с материалами Клиники в соответствии с согласованным Предварительным планом лечения.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numPr>
          <w:numId w:val="2"/>
          <w:ilvl w:val="2"/>
        </w:numPr>
        <w:jc w:val="both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numPr>
          <w:numId w:val="2"/>
          <w:ilvl w:val="2"/>
        </w:numPr>
        <w:jc w:val="both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Если в процессе оказания услуг возникла необходимость изменения Плана лечения и (или) выполнения дополнительных действий, связанных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numPr>
          <w:numId w:val="2"/>
          <w:ilvl w:val="2"/>
        </w:numPr>
        <w:jc w:val="both"/>
        <w:rPr>
          <w:rStyle w:val="UserStyle_99"/>
          <w:rFonts w:cs="Times New Roman"/>
          <w:sz w:val="24"/>
          <w:szCs w:val="24"/>
        </w:rPr>
      </w:pPr>
      <w:r>
        <w:rPr>
          <w:rStyle w:val="UserStyle_99"/>
          <w:rFonts w:cs="Times New Roman"/>
          <w:sz w:val="24"/>
          <w:szCs w:val="24"/>
        </w:rPr>
        <w:t xml:space="preserve">Пациент подтверждает, что ознакомлен с информацией, касающейся особенностей оказываемой медицинской услуги и условий ее  предоставления своей подписью в Медицинской карте и всех Приложениях к договору.</w:t>
      </w:r>
      <w:r>
        <w:rPr>
          <w:rStyle w:val="UserStyle_99"/>
          <w:rFonts w:cs="Times New Roman"/>
          <w:sz w:val="24"/>
          <w:szCs w:val="24"/>
        </w:rPr>
      </w:r>
    </w:p>
    <w:p>
      <w:pPr>
        <w:pStyle w:val="Normal"/>
        <w:numPr>
          <w:numId w:val="2"/>
          <w:ilvl w:val="2"/>
        </w:numPr>
        <w:jc w:val="both"/>
      </w:pPr>
      <w:r>
        <w:rPr>
          <w:rStyle w:val="UserStyle_99"/>
          <w:rFonts w:cs="Times New Roman"/>
          <w:sz w:val="24"/>
          <w:szCs w:val="24"/>
        </w:rPr>
        <w:t xml:space="preserve"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>
      <w:pPr>
        <w:pStyle w:val="Normal"/>
        <w:numPr>
          <w:numId w:val="2"/>
          <w:ilvl w:val="2"/>
        </w:numPr>
        <w:jc w:val="both"/>
      </w:pPr>
      <w:r>
        <w:t xml:space="preserve">После заключения договора пациент оплачивает в регистратуре  стоимость платных медицинских услуг. Оплата за услуги врачу не допускается. </w:t>
      </w:r>
      <w:r>
        <w:rPr>
          <w:rStyle w:val="UserStyle_99"/>
          <w:rFonts w:cs="Times New Roman"/>
          <w:sz w:val="24"/>
          <w:szCs w:val="24"/>
        </w:rPr>
        <w:t xml:space="preserve">В случае недостаточности у Пациента денежных средств для оплаты оказанных услуг, задолженность Пациента перед Клиникой оформляется долговой распиской. </w:t>
      </w:r>
    </w:p>
    <w:p>
      <w:pPr>
        <w:pStyle w:val="Normal"/>
        <w:numPr>
          <w:numId w:val="2"/>
          <w:ilvl w:val="2"/>
        </w:numPr>
        <w:jc w:val="both"/>
      </w:pPr>
      <w:r>
        <w:t xml:space="preserve">По окончании первого приёма лечащий врач выдаёт пациенту талон, в котором прописывается дата и время повторного и последующего  приёмов. если пациент был назначен врачом для продолжения лечения.</w:t>
      </w:r>
    </w:p>
    <w:p>
      <w:pPr>
        <w:pStyle w:val="Normal"/>
        <w:numPr>
          <w:numId w:val="2"/>
          <w:ilvl w:val="2"/>
        </w:numPr>
        <w:jc w:val="both"/>
      </w:pPr>
      <w:r>
        <w:t xml:space="preserve">В случае изменения состояния здоровья пациента в ходе лечения, пациент обязан во время следующего посещения  поставить в известность об этом своего лечащего врача и явится на примем незамедлительно для диагностики состояния здоровья и устранения проблем. </w:t>
      </w:r>
    </w:p>
    <w:p>
      <w:pPr>
        <w:pStyle w:val="Normal"/>
        <w:numPr>
          <w:numId w:val="2"/>
          <w:ilvl w:val="2"/>
        </w:numPr>
        <w:jc w:val="both"/>
      </w:pPr>
      <w:r>
        <w:t xml:space="preserve"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24 часа до назначенного времени.</w:t>
      </w:r>
    </w:p>
    <w:p>
      <w:pPr>
        <w:pStyle w:val="Normal"/>
        <w:numPr>
          <w:numId w:val="2"/>
          <w:ilvl w:val="2"/>
        </w:numPr>
        <w:jc w:val="both"/>
      </w:pPr>
      <w:r>
        <w:t xml:space="preserve">По завершении оказания платной медицинской услуги пациент подписывает Акт об оказанных услугах и оплачивает оказанные ему услуги в регистратуре. Оплата проводится наличными денежными средствами, с помощью банковских карт посредством применения терминала оплаты либо по желанию и с согласия пациента (заказчика) путем внесения аванса или 100% предоплаты по плану лечения. В случае отказа пациента от продолжения лечения при ранее внесенном авансе исполнитель (клиника)  после расчета и взимания оплаты за фактически оказанные услуги производит возврат оставшихся денежных средств в течение 10 рабочих дней тем же путем, которым денежные средства были оплачены исполнителю либо иным путем по договоренности сторон. </w:t>
      </w:r>
    </w:p>
    <w:p>
      <w:pPr>
        <w:pStyle w:val="Normal"/>
        <w:ind w:left="720" w:right="0" w:firstLine="0"/>
        <w:jc w:val="both"/>
      </w:pPr>
    </w:p>
    <w:p>
      <w:pPr>
        <w:pStyle w:val="Normal"/>
        <w:numPr>
          <w:numId w:val="2"/>
          <w:ilvl w:val="0"/>
        </w:numPr>
        <w:jc w:val="center"/>
      </w:pPr>
      <w:r>
        <w:t xml:space="preserve">ПОРЯДОК ОФОРМЛЕНИЯ МЕДИЦИНСКИХ ДОКУМЕНТОВ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Медицинская карта пациента хранится в регистратуре в течение 5 лет с момента последнего обращения пациента а далее в архиве в течение 25 лет.</w:t>
      </w:r>
    </w:p>
    <w:p>
      <w:pPr>
        <w:pStyle w:val="Normal"/>
        <w:numPr>
          <w:numId w:val="2"/>
          <w:ilvl w:val="1"/>
        </w:numPr>
        <w:jc w:val="both"/>
      </w:pPr>
      <w:r>
        <w:t xml:space="preserve">Хранение медицинской карты самим пациентом на дому, передача её в другие лечебные учреждения, третьим лицам не допускается. </w:t>
      </w:r>
    </w:p>
    <w:p>
      <w:pPr>
        <w:pStyle w:val="Normal"/>
        <w:ind w:left="360" w:right="0" w:firstLine="0"/>
        <w:jc w:val="both"/>
      </w:pPr>
    </w:p>
    <w:p>
      <w:pPr>
        <w:pStyle w:val="Normal"/>
        <w:numPr>
          <w:numId w:val="2"/>
          <w:ilvl w:val="0"/>
        </w:numPr>
        <w:jc w:val="center"/>
      </w:pPr>
      <w:r>
        <w:t xml:space="preserve"> ПОРЯДОК ПРЕДОСТАВЛЕНИЯ ИНФОРМАЦИИ </w:t>
      </w:r>
    </w:p>
    <w:p>
      <w:pPr>
        <w:pStyle w:val="Normal"/>
        <w:numPr>
          <w:numId w:val="2"/>
          <w:ilvl w:val="1"/>
        </w:numPr>
        <w:jc w:val="both"/>
      </w:pPr>
      <w:r>
        <w:t xml:space="preserve"> Информация о состоянии здоровья предоставляется пациенту лечащим врачом в доступной для него форме в устной форме, путем выписки из амбулаторной карты, написания выписного (этапного) эпикриза или  предоставлением копий медицинских документов.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>
      <w:pPr>
        <w:pStyle w:val="Normal"/>
        <w:numPr>
          <w:numId w:val="2"/>
          <w:ilvl w:val="1"/>
        </w:numPr>
        <w:jc w:val="both"/>
      </w:pPr>
      <w:r>
        <w:t xml:space="preserve"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 РФ.</w:t>
      </w:r>
    </w:p>
    <w:p>
      <w:pPr>
        <w:pStyle w:val="Normal"/>
        <w:ind w:left="360" w:right="0" w:firstLine="0"/>
      </w:pPr>
      <w:r>
        <w:t xml:space="preserve"> </w:t>
      </w:r>
    </w:p>
    <w:p>
      <w:pPr>
        <w:pStyle w:val="Normal"/>
        <w:numPr>
          <w:numId w:val="2"/>
          <w:ilvl w:val="0"/>
        </w:numPr>
        <w:jc w:val="center"/>
      </w:pPr>
      <w:r>
        <w:t xml:space="preserve">  ГАРАНТИИ КАЧЕСТВА </w:t>
      </w:r>
    </w:p>
    <w:p>
      <w:pPr>
        <w:pStyle w:val="Normal"/>
        <w:numPr>
          <w:numId w:val="2"/>
          <w:ilvl w:val="1"/>
        </w:numPr>
        <w:tabs>
          <w:tab w:val="left" w:pos="1080" w:leader="none"/>
        </w:tabs>
        <w:jc w:val="both"/>
      </w:pPr>
      <w:r>
        <w:t xml:space="preserve"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сроки дополнительно в амбулаторной карты, акты выполненных услуг, информированном добровольном согласии или специальном документе (Гарантийный талон или гарантийный паспорт пациента).</w:t>
      </w:r>
    </w:p>
    <w:p>
      <w:pPr>
        <w:pStyle w:val="Normal"/>
        <w:numPr>
          <w:numId w:val="2"/>
          <w:ilvl w:val="1"/>
        </w:numPr>
        <w:tabs>
          <w:tab w:val="left" w:pos="1080" w:leader="none"/>
        </w:tabs>
        <w:jc w:val="both"/>
      </w:pPr>
      <w:r>
        <w:t xml:space="preserve">При оказании медицинских услуг Клиника гарантирует:</w:t>
      </w:r>
    </w:p>
    <w:p>
      <w:pPr>
        <w:pStyle w:val="Normal"/>
        <w:numPr>
          <w:numId w:val="4"/>
          <w:ilvl w:val="2"/>
        </w:numPr>
        <w:jc w:val="both"/>
      </w:pPr>
      <w:r>
        <w:t xml:space="preserve">безопасность, которая обеспечивается строгим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оказание видов медицинских услуг в соответствии с лицензией; </w:t>
      </w:r>
    </w:p>
    <w:p>
      <w:pPr>
        <w:pStyle w:val="Normal"/>
        <w:numPr>
          <w:numId w:val="4"/>
          <w:ilvl w:val="2"/>
        </w:numPr>
        <w:jc w:val="both"/>
      </w:pPr>
      <w:r>
        <w:t xml:space="preserve"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>
      <w:pPr>
        <w:pStyle w:val="Normal"/>
        <w:numPr>
          <w:numId w:val="4"/>
          <w:ilvl w:val="2"/>
        </w:numPr>
        <w:jc w:val="both"/>
      </w:pPr>
      <w:r>
        <w:t xml:space="preserve">тщательное соблюдение технологий лечения, что предполагает профессиональную подготовку врачей и медицинских сестёр;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индивидуальный подбор анестетиков, что позволяет в максимальной степени исключить болевые ощущения, учитывая при этом возраст Пациента, его аллергологический статус, показатели общего здоровья и опыт лечения;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мероприятия по устранению и снижению степени осложнений, которые могут возникнуть в процессе или после оказания услуги;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проведение контрольных осмотров – по показаниям, после сложного лечения или при необходимости упреждения нежелательных последствий;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проведение бесплатных профилактических осмотров с частотой, определяемой лечащим врачом;</w:t>
      </w:r>
    </w:p>
    <w:p>
      <w:pPr>
        <w:pStyle w:val="Normal"/>
        <w:numPr>
          <w:numId w:val="4"/>
          <w:ilvl w:val="2"/>
        </w:numPr>
        <w:jc w:val="both"/>
      </w:pPr>
      <w:r>
        <w:t xml:space="preserve">динамический контроль за процессом выздоровления, реабилитации и результатов оказания медицинской услуги;</w:t>
      </w:r>
    </w:p>
    <w:p>
      <w:pPr>
        <w:pStyle w:val="Normal"/>
        <w:numPr>
          <w:numId w:val="4"/>
          <w:ilvl w:val="2"/>
        </w:numPr>
        <w:tabs>
          <w:tab w:val="left" w:pos="1080" w:leader="none"/>
        </w:tabs>
        <w:jc w:val="both"/>
      </w:pPr>
      <w:r>
        <w:t xml:space="preserve"> достижение показателей качества медицинской услуги и эстетических результатов (с учетом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>
      <w:pPr>
        <w:pStyle w:val="Normal"/>
      </w:pPr>
      <w:r>
        <w:t xml:space="preserve"> </w:t>
      </w:r>
    </w:p>
    <w:p>
      <w:pPr>
        <w:pStyle w:val="Normal"/>
        <w:numPr>
          <w:numId w:val="2"/>
          <w:ilvl w:val="0"/>
        </w:numPr>
        <w:jc w:val="center"/>
      </w:pPr>
      <w:r>
        <w:t xml:space="preserve">  ПРОЧИЕ ПОЛОЖЕНИЯ</w:t>
      </w:r>
    </w:p>
    <w:p>
      <w:pPr>
        <w:pStyle w:val="Normal"/>
        <w:numPr>
          <w:numId w:val="2"/>
          <w:ilvl w:val="1"/>
        </w:numPr>
        <w:tabs>
          <w:tab w:val="left" w:pos="1080" w:leader="none"/>
        </w:tabs>
        <w:jc w:val="both"/>
      </w:pPr>
      <w:r>
        <w:t xml:space="preserve"> При возникновении конфликта между пациентом и врачом, средним или младшим медицинским персоналом спорный вопрос решается на совместном заседании Врачебной Комиссией исполнителя при личном присутствии пациента. Претензионный досудебный порядок разрешения споров является обязательным.</w:t>
      </w:r>
    </w:p>
    <w:p>
      <w:pPr>
        <w:pStyle w:val="Normal"/>
        <w:numPr>
          <w:numId w:val="2"/>
          <w:ilvl w:val="1"/>
        </w:numPr>
        <w:tabs>
          <w:tab w:val="left" w:pos="1080" w:leader="none"/>
        </w:tabs>
        <w:jc w:val="both"/>
      </w:pPr>
      <w:r>
        <w:t xml:space="preserve">Прием главного  врача  по  всем  вопросам  проводится каждый понедельник с 12-</w:t>
      </w:r>
      <w:r>
        <w:rPr>
          <w:vertAlign w:val="superscript"/>
        </w:rPr>
        <w:t xml:space="preserve">00</w:t>
      </w:r>
      <w:r>
        <w:t xml:space="preserve">  до  13-</w:t>
      </w:r>
      <w:r>
        <w:rPr>
          <w:vertAlign w:val="superscript"/>
        </w:rPr>
        <w:t xml:space="preserve">00</w:t>
      </w:r>
      <w:r>
        <w:t xml:space="preserve">.</w:t>
      </w:r>
    </w:p>
    <w:p>
      <w:pPr>
        <w:pStyle w:val="Normal"/>
        <w:numPr>
          <w:numId w:val="2"/>
          <w:ilvl w:val="1"/>
        </w:numPr>
        <w:tabs>
          <w:tab w:val="left" w:pos="1080" w:leader="none"/>
        </w:tabs>
        <w:jc w:val="both"/>
        <w:rPr>
          <w:szCs w:val="22"/>
        </w:rPr>
      </w:pPr>
      <w:r>
        <w:t xml:space="preserve">Вся информация о работе Клиники, о контролирующих органах, о гарантийных сроках и прочая информация в соответствии с требованиями законодательства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  <w:r>
        <w:rPr>
          <w:szCs w:val="22"/>
        </w:rPr>
      </w:r>
    </w:p>
    <w:sectPr>
      <w:type w:val="nextPage"/>
      <w:pgSz w:w="11906" w:h="16838"/>
      <w:pgMar w:top="1134" w:right="850" w:bottom="1134" w:left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92" w:leader="none"/>
        </w:tabs>
        <w:ind w:left="792" w:hanging="432"/>
      </w:pPr>
    </w:lvl>
    <w:lvl w:ilvl="2">
      <w:start w:val="1"/>
      <w:numFmt w:val="bullet"/>
      <w:suff w:val="tab"/>
      <w:lvlText w:val="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800" w:leader="none"/>
        </w:tabs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880" w:leader="none"/>
        </w:tabs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60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96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680" w:leader="none"/>
        </w:tabs>
        <w:ind w:left="4320" w:hanging="144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92" w:leader="none"/>
        </w:tabs>
        <w:ind w:left="792" w:hanging="432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440" w:leader="none"/>
        </w:tabs>
        <w:ind w:left="1224" w:hanging="504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800" w:leader="none"/>
        </w:tabs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880" w:leader="none"/>
        </w:tabs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60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96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680" w:leader="none"/>
        </w:tabs>
        <w:ind w:left="4320" w:hanging="144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92" w:leader="none"/>
        </w:tabs>
        <w:ind w:left="792" w:hanging="432"/>
      </w:pPr>
    </w:lvl>
    <w:lvl w:ilvl="2">
      <w:start w:val="1"/>
      <w:numFmt w:val="bullet"/>
      <w:suff w:val="tab"/>
      <w:lvlText w:val="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800" w:leader="none"/>
        </w:tabs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880" w:leader="none"/>
        </w:tabs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60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96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680" w:leader="none"/>
        </w:tabs>
        <w:ind w:left="4320" w:hanging="144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92" w:leader="none"/>
        </w:tabs>
        <w:ind w:left="792" w:hanging="432"/>
      </w:pPr>
    </w:lvl>
    <w:lvl w:ilvl="2">
      <w:start w:val="1"/>
      <w:numFmt w:val="bullet"/>
      <w:suff w:val="tab"/>
      <w:lvlText w:val="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800" w:leader="none"/>
        </w:tabs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880" w:leader="none"/>
        </w:tabs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60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96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680" w:leader="none"/>
        </w:tabs>
        <w:ind w:left="4320" w:hanging="1440"/>
      </w:pPr>
    </w:lvl>
  </w:abstractNum>
  <w:abstractNum w:abstractNumId="4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432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576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864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1008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1152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1296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1584" w:leader="none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Базовый"/>
    <w:next w:val="Normal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ar-SA" w:bidi="ar-SA"/>
    </w:rPr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  <w:rPr>
      <w:rFonts w:ascii="Symbol" w:hAnsi="Symbol" w:cs="Symbol"/>
    </w:rPr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</w:style>
  <w:style w:type="character" w:styleId="UserStyle_10">
    <w:name w:val="WW8Num2z1"/>
    <w:next w:val="UserStyle_10"/>
    <w:link w:val="Normal"/>
    <w:rPr>
      <w:color w:val="000000"/>
    </w:rPr>
  </w:style>
  <w:style w:type="character" w:styleId="UserStyle_11">
    <w:name w:val="WW8Num2z2"/>
    <w:next w:val="UserStyle_11"/>
    <w:link w:val="Normal"/>
    <w:rPr>
      <w:rFonts w:ascii="Times New Roman" w:hAnsi="Times New Roman" w:cs="Times New Roman"/>
      <w:spacing w:val="0"/>
      <w:sz w:val="24"/>
      <w:szCs w:val="24"/>
    </w:rPr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WW8Num3z0"/>
    <w:next w:val="UserStyle_18"/>
    <w:link w:val="Normal"/>
  </w:style>
  <w:style w:type="character" w:styleId="UserStyle_19">
    <w:name w:val="WW8Num3z1"/>
    <w:next w:val="UserStyle_19"/>
    <w:link w:val="Normal"/>
  </w:style>
  <w:style w:type="character" w:styleId="UserStyle_20">
    <w:name w:val="WW8Num3z2"/>
    <w:next w:val="UserStyle_20"/>
    <w:link w:val="Normal"/>
  </w:style>
  <w:style w:type="character" w:styleId="UserStyle_21">
    <w:name w:val="WW8Num3z3"/>
    <w:next w:val="UserStyle_21"/>
    <w:link w:val="Normal"/>
  </w:style>
  <w:style w:type="character" w:styleId="UserStyle_22">
    <w:name w:val="WW8Num3z4"/>
    <w:next w:val="UserStyle_22"/>
    <w:link w:val="Normal"/>
  </w:style>
  <w:style w:type="character" w:styleId="UserStyle_23">
    <w:name w:val="WW8Num3z5"/>
    <w:next w:val="UserStyle_23"/>
    <w:link w:val="Normal"/>
  </w:style>
  <w:style w:type="character" w:styleId="UserStyle_24">
    <w:name w:val="WW8Num3z6"/>
    <w:next w:val="UserStyle_24"/>
    <w:link w:val="Normal"/>
  </w:style>
  <w:style w:type="character" w:styleId="UserStyle_25">
    <w:name w:val="WW8Num3z7"/>
    <w:next w:val="UserStyle_25"/>
    <w:link w:val="Normal"/>
  </w:style>
  <w:style w:type="character" w:styleId="UserStyle_26">
    <w:name w:val="WW8Num3z8"/>
    <w:next w:val="UserStyle_26"/>
    <w:link w:val="Normal"/>
  </w:style>
  <w:style w:type="character" w:styleId="UserStyle_27">
    <w:name w:val="WW8Num4z0"/>
    <w:next w:val="UserStyle_27"/>
    <w:link w:val="Normal"/>
    <w:rPr>
      <w:rFonts w:ascii="Times New Roman" w:hAnsi="Times New Roman" w:cs="Times New Roman"/>
    </w:rPr>
  </w:style>
  <w:style w:type="character" w:styleId="UserStyle_28">
    <w:name w:val="WW8Num5z0"/>
    <w:next w:val="UserStyle_28"/>
    <w:link w:val="Normal"/>
  </w:style>
  <w:style w:type="character" w:styleId="UserStyle_29">
    <w:name w:val="WW8Num5z1"/>
    <w:next w:val="UserStyle_29"/>
    <w:link w:val="Normal"/>
  </w:style>
  <w:style w:type="character" w:styleId="UserStyle_30">
    <w:name w:val="WW8Num5z2"/>
    <w:next w:val="UserStyle_30"/>
    <w:link w:val="Normal"/>
    <w:rPr>
      <w:rFonts w:ascii="Symbol" w:hAnsi="Symbol" w:cs="Symbol"/>
    </w:rPr>
  </w:style>
  <w:style w:type="character" w:styleId="UserStyle_31">
    <w:name w:val="WW8Num5z3"/>
    <w:next w:val="UserStyle_31"/>
    <w:link w:val="Normal"/>
  </w:style>
  <w:style w:type="character" w:styleId="UserStyle_32">
    <w:name w:val="WW8Num5z4"/>
    <w:next w:val="UserStyle_32"/>
    <w:link w:val="Normal"/>
  </w:style>
  <w:style w:type="character" w:styleId="UserStyle_33">
    <w:name w:val="WW8Num5z5"/>
    <w:next w:val="UserStyle_33"/>
    <w:link w:val="Normal"/>
  </w:style>
  <w:style w:type="character" w:styleId="UserStyle_34">
    <w:name w:val="WW8Num5z6"/>
    <w:next w:val="UserStyle_34"/>
    <w:link w:val="Normal"/>
  </w:style>
  <w:style w:type="character" w:styleId="UserStyle_35">
    <w:name w:val="WW8Num5z7"/>
    <w:next w:val="UserStyle_35"/>
    <w:link w:val="Normal"/>
  </w:style>
  <w:style w:type="character" w:styleId="UserStyle_36">
    <w:name w:val="WW8Num5z8"/>
    <w:next w:val="UserStyle_36"/>
    <w:link w:val="Normal"/>
  </w:style>
  <w:style w:type="character" w:styleId="UserStyle_37">
    <w:name w:val="WW8Num6z0"/>
    <w:next w:val="UserStyle_37"/>
    <w:link w:val="Normal"/>
    <w:rPr>
      <w:rFonts w:ascii="Symbol" w:hAnsi="Symbol" w:cs="Symbol"/>
    </w:rPr>
  </w:style>
  <w:style w:type="character" w:styleId="UserStyle_38">
    <w:name w:val="WW8Num6z1"/>
    <w:next w:val="UserStyle_38"/>
    <w:link w:val="Normal"/>
    <w:rPr>
      <w:rFonts w:ascii="Courier New" w:hAnsi="Courier New" w:cs="Courier New"/>
    </w:rPr>
  </w:style>
  <w:style w:type="character" w:styleId="UserStyle_39">
    <w:name w:val="WW8Num6z2"/>
    <w:next w:val="UserStyle_39"/>
    <w:link w:val="Normal"/>
    <w:rPr>
      <w:rFonts w:ascii="Wingdings" w:hAnsi="Wingdings" w:cs="Wingdings"/>
    </w:rPr>
  </w:style>
  <w:style w:type="character" w:styleId="UserStyle_40">
    <w:name w:val="WW8Num7z0"/>
    <w:next w:val="UserStyle_40"/>
    <w:link w:val="Normal"/>
  </w:style>
  <w:style w:type="character" w:styleId="UserStyle_41">
    <w:name w:val="WW8Num7z1"/>
    <w:next w:val="UserStyle_41"/>
    <w:link w:val="Normal"/>
  </w:style>
  <w:style w:type="character" w:styleId="UserStyle_42">
    <w:name w:val="WW8Num7z2"/>
    <w:next w:val="UserStyle_42"/>
    <w:link w:val="Normal"/>
  </w:style>
  <w:style w:type="character" w:styleId="UserStyle_43">
    <w:name w:val="WW8Num7z3"/>
    <w:next w:val="UserStyle_43"/>
    <w:link w:val="Normal"/>
  </w:style>
  <w:style w:type="character" w:styleId="UserStyle_44">
    <w:name w:val="WW8Num7z4"/>
    <w:next w:val="UserStyle_44"/>
    <w:link w:val="Normal"/>
  </w:style>
  <w:style w:type="character" w:styleId="UserStyle_45">
    <w:name w:val="WW8Num7z5"/>
    <w:next w:val="UserStyle_45"/>
    <w:link w:val="Normal"/>
  </w:style>
  <w:style w:type="character" w:styleId="UserStyle_46">
    <w:name w:val="WW8Num7z6"/>
    <w:next w:val="UserStyle_46"/>
    <w:link w:val="Normal"/>
  </w:style>
  <w:style w:type="character" w:styleId="UserStyle_47">
    <w:name w:val="WW8Num7z7"/>
    <w:next w:val="UserStyle_47"/>
    <w:link w:val="Normal"/>
  </w:style>
  <w:style w:type="character" w:styleId="UserStyle_48">
    <w:name w:val="WW8Num7z8"/>
    <w:next w:val="UserStyle_48"/>
  </w:style>
  <w:style w:type="character" w:styleId="UserStyle_49">
    <w:name w:val="WW8Num8z0"/>
    <w:next w:val="UserStyle_49"/>
    <w:link w:val="Normal"/>
  </w:style>
  <w:style w:type="character" w:styleId="UserStyle_50">
    <w:name w:val="WW8Num9z0"/>
    <w:next w:val="UserStyle_50"/>
    <w:link w:val="Normal"/>
  </w:style>
  <w:style w:type="character" w:styleId="UserStyle_51">
    <w:name w:val="WW8Num10z0"/>
    <w:next w:val="UserStyle_51"/>
    <w:link w:val="Normal"/>
  </w:style>
  <w:style w:type="character" w:styleId="UserStyle_52">
    <w:name w:val="WW8Num10z1"/>
    <w:next w:val="UserStyle_52"/>
    <w:link w:val="Normal"/>
  </w:style>
  <w:style w:type="character" w:styleId="UserStyle_53">
    <w:name w:val="WW8Num10z2"/>
    <w:next w:val="UserStyle_53"/>
    <w:link w:val="Normal"/>
  </w:style>
  <w:style w:type="character" w:styleId="UserStyle_54">
    <w:name w:val="WW8Num10z3"/>
    <w:next w:val="UserStyle_54"/>
    <w:link w:val="Normal"/>
  </w:style>
  <w:style w:type="character" w:styleId="UserStyle_55">
    <w:name w:val="WW8Num10z4"/>
    <w:next w:val="UserStyle_55"/>
    <w:link w:val="Normal"/>
  </w:style>
  <w:style w:type="character" w:styleId="UserStyle_56">
    <w:name w:val="WW8Num10z5"/>
    <w:next w:val="UserStyle_56"/>
    <w:link w:val="Normal"/>
  </w:style>
  <w:style w:type="character" w:styleId="UserStyle_57">
    <w:name w:val="WW8Num10z6"/>
    <w:next w:val="UserStyle_57"/>
    <w:link w:val="Normal"/>
  </w:style>
  <w:style w:type="character" w:styleId="UserStyle_58">
    <w:name w:val="WW8Num10z7"/>
    <w:next w:val="UserStyle_58"/>
    <w:link w:val="Normal"/>
  </w:style>
  <w:style w:type="character" w:styleId="UserStyle_59">
    <w:name w:val="WW8Num10z8"/>
    <w:next w:val="UserStyle_59"/>
    <w:link w:val="Normal"/>
  </w:style>
  <w:style w:type="character" w:styleId="UserStyle_60">
    <w:name w:val="WW8Num11z0"/>
    <w:next w:val="UserStyle_60"/>
    <w:link w:val="Normal"/>
  </w:style>
  <w:style w:type="character" w:styleId="UserStyle_61">
    <w:name w:val="WW8Num11z1"/>
    <w:next w:val="UserStyle_61"/>
    <w:link w:val="Normal"/>
  </w:style>
  <w:style w:type="character" w:styleId="UserStyle_62">
    <w:name w:val="WW8Num11z2"/>
    <w:next w:val="UserStyle_62"/>
    <w:link w:val="Normal"/>
  </w:style>
  <w:style w:type="character" w:styleId="UserStyle_63">
    <w:name w:val="WW8Num11z3"/>
    <w:next w:val="UserStyle_63"/>
    <w:link w:val="Normal"/>
  </w:style>
  <w:style w:type="character" w:styleId="UserStyle_64">
    <w:name w:val="WW8Num11z4"/>
    <w:next w:val="UserStyle_64"/>
    <w:link w:val="Normal"/>
  </w:style>
  <w:style w:type="character" w:styleId="UserStyle_65">
    <w:name w:val="WW8Num11z5"/>
    <w:next w:val="UserStyle_65"/>
    <w:link w:val="Normal"/>
  </w:style>
  <w:style w:type="character" w:styleId="UserStyle_66">
    <w:name w:val="WW8Num11z6"/>
    <w:next w:val="UserStyle_66"/>
    <w:link w:val="Normal"/>
  </w:style>
  <w:style w:type="character" w:styleId="UserStyle_67">
    <w:name w:val="WW8Num11z7"/>
    <w:next w:val="UserStyle_67"/>
    <w:link w:val="Normal"/>
  </w:style>
  <w:style w:type="character" w:styleId="UserStyle_68">
    <w:name w:val="WW8Num11z8"/>
    <w:next w:val="UserStyle_68"/>
    <w:link w:val="Normal"/>
  </w:style>
  <w:style w:type="character" w:styleId="UserStyle_69">
    <w:name w:val="WW8Num12z0"/>
    <w:next w:val="UserStyle_69"/>
    <w:link w:val="Normal"/>
  </w:style>
  <w:style w:type="character" w:styleId="UserStyle_70">
    <w:name w:val="WW8Num12z1"/>
    <w:next w:val="UserStyle_70"/>
    <w:link w:val="Normal"/>
  </w:style>
  <w:style w:type="character" w:styleId="UserStyle_71">
    <w:name w:val="WW8Num12z2"/>
    <w:next w:val="UserStyle_71"/>
    <w:link w:val="Normal"/>
    <w:rPr>
      <w:rFonts w:ascii="Symbol" w:hAnsi="Symbol" w:cs="Symbol"/>
    </w:rPr>
  </w:style>
  <w:style w:type="character" w:styleId="UserStyle_72">
    <w:name w:val="WW8Num12z3"/>
    <w:next w:val="UserStyle_72"/>
    <w:link w:val="Normal"/>
  </w:style>
  <w:style w:type="character" w:styleId="UserStyle_73">
    <w:name w:val="WW8Num12z4"/>
    <w:next w:val="UserStyle_73"/>
    <w:link w:val="Normal"/>
  </w:style>
  <w:style w:type="character" w:styleId="UserStyle_74">
    <w:name w:val="WW8Num12z5"/>
    <w:next w:val="UserStyle_74"/>
    <w:link w:val="Normal"/>
  </w:style>
  <w:style w:type="character" w:styleId="UserStyle_75">
    <w:name w:val="WW8Num12z6"/>
    <w:next w:val="UserStyle_75"/>
    <w:link w:val="Normal"/>
  </w:style>
  <w:style w:type="character" w:styleId="UserStyle_76">
    <w:name w:val="WW8Num12z7"/>
    <w:next w:val="UserStyle_76"/>
    <w:link w:val="Normal"/>
  </w:style>
  <w:style w:type="character" w:styleId="UserStyle_77">
    <w:name w:val="WW8Num12z8"/>
    <w:next w:val="UserStyle_77"/>
    <w:link w:val="Normal"/>
  </w:style>
  <w:style w:type="character" w:styleId="UserStyle_78">
    <w:name w:val="WW8Num13z0"/>
    <w:next w:val="UserStyle_78"/>
    <w:link w:val="Normal"/>
  </w:style>
  <w:style w:type="character" w:styleId="UserStyle_79">
    <w:name w:val="WW8Num13z1"/>
    <w:next w:val="UserStyle_79"/>
    <w:link w:val="Normal"/>
  </w:style>
  <w:style w:type="character" w:styleId="UserStyle_80">
    <w:name w:val="WW8Num13z2"/>
    <w:next w:val="UserStyle_80"/>
    <w:link w:val="Normal"/>
  </w:style>
  <w:style w:type="character" w:styleId="UserStyle_81">
    <w:name w:val="WW8Num13z3"/>
    <w:next w:val="UserStyle_81"/>
    <w:link w:val="Normal"/>
  </w:style>
  <w:style w:type="character" w:styleId="UserStyle_82">
    <w:name w:val="WW8Num13z4"/>
    <w:next w:val="UserStyle_82"/>
    <w:link w:val="Normal"/>
  </w:style>
  <w:style w:type="character" w:styleId="UserStyle_83">
    <w:name w:val="WW8Num13z5"/>
    <w:next w:val="UserStyle_83"/>
    <w:link w:val="Normal"/>
  </w:style>
  <w:style w:type="character" w:styleId="UserStyle_84">
    <w:name w:val="WW8Num13z6"/>
    <w:next w:val="UserStyle_84"/>
    <w:link w:val="Normal"/>
  </w:style>
  <w:style w:type="character" w:styleId="UserStyle_85">
    <w:name w:val="WW8Num13z7"/>
    <w:next w:val="UserStyle_85"/>
    <w:link w:val="Normal"/>
  </w:style>
  <w:style w:type="character" w:styleId="UserStyle_86">
    <w:name w:val="WW8Num13z8"/>
    <w:next w:val="UserStyle_86"/>
    <w:link w:val="Normal"/>
  </w:style>
  <w:style w:type="character" w:styleId="UserStyle_87">
    <w:name w:val="WW8Num14z0"/>
    <w:next w:val="UserStyle_87"/>
    <w:link w:val="Normal"/>
    <w:rPr>
      <w:rFonts w:ascii="Times New Roman" w:hAnsi="Times New Roman" w:cs="Times New Roman"/>
    </w:rPr>
  </w:style>
  <w:style w:type="character" w:styleId="UserStyle_88">
    <w:name w:val="WW8Num15z0"/>
    <w:next w:val="UserStyle_88"/>
    <w:link w:val="Normal"/>
  </w:style>
  <w:style w:type="character" w:styleId="UserStyle_89">
    <w:name w:val="WW8Num15z1"/>
    <w:next w:val="UserStyle_89"/>
    <w:link w:val="Normal"/>
  </w:style>
  <w:style w:type="character" w:styleId="UserStyle_90">
    <w:name w:val="WW8Num15z2"/>
    <w:next w:val="UserStyle_90"/>
    <w:link w:val="Normal"/>
    <w:rPr>
      <w:rFonts w:ascii="Symbol" w:hAnsi="Symbol" w:cs="Symbol"/>
    </w:rPr>
  </w:style>
  <w:style w:type="character" w:styleId="UserStyle_91">
    <w:name w:val="WW8Num15z3"/>
    <w:next w:val="UserStyle_91"/>
  </w:style>
  <w:style w:type="character" w:styleId="UserStyle_92">
    <w:name w:val="WW8Num15z4"/>
    <w:next w:val="UserStyle_92"/>
    <w:link w:val="Normal"/>
  </w:style>
  <w:style w:type="character" w:styleId="UserStyle_93">
    <w:name w:val="WW8Num15z5"/>
    <w:next w:val="UserStyle_93"/>
    <w:link w:val="Normal"/>
  </w:style>
  <w:style w:type="character" w:styleId="UserStyle_94">
    <w:name w:val="WW8Num15z6"/>
    <w:next w:val="UserStyle_94"/>
    <w:link w:val="Normal"/>
  </w:style>
  <w:style w:type="character" w:styleId="UserStyle_95">
    <w:name w:val="WW8Num15z7"/>
    <w:next w:val="UserStyle_95"/>
    <w:link w:val="Normal"/>
  </w:style>
  <w:style w:type="character" w:styleId="UserStyle_96">
    <w:name w:val="WW8Num15z8"/>
    <w:next w:val="UserStyle_96"/>
    <w:link w:val="Normal"/>
  </w:style>
  <w:style w:type="character" w:styleId="UserStyle_97">
    <w:name w:val="Основной шрифт абзаца"/>
    <w:next w:val="UserStyle_97"/>
    <w:link w:val="Normal"/>
  </w:style>
  <w:style w:type="character" w:styleId="Strong">
    <w:name w:val="Выделение жирным"/>
    <w:next w:val="Strong"/>
    <w:link w:val="Normal"/>
    <w:rPr>
      <w:b/>
      <w:bCs/>
    </w:rPr>
  </w:style>
  <w:style w:type="character" w:styleId="UserStyle_98">
    <w:name w:val="apple-converted-space"/>
    <w:basedOn w:val="UserStyle_97"/>
    <w:next w:val="UserStyle_98"/>
    <w:link w:val="Normal"/>
  </w:style>
  <w:style w:type="character" w:styleId="UserStyle_99">
    <w:name w:val="Font Style46"/>
    <w:next w:val="UserStyle_99"/>
    <w:link w:val="Normal"/>
    <w:rPr>
      <w:rFonts w:ascii="Lucida Sans Unicode" w:hAnsi="Lucida Sans Unicode" w:cs="Lucida Sans Unicode"/>
      <w:spacing w:val="-10"/>
      <w:sz w:val="14"/>
      <w:szCs w:val="14"/>
    </w:rPr>
  </w:style>
  <w:style w:type="character" w:styleId="UserStyle_100">
    <w:name w:val="blk"/>
    <w:basedOn w:val="UserStyle_97"/>
    <w:next w:val="UserStyle_100"/>
    <w:link w:val="Normal"/>
  </w:style>
  <w:style w:type="character" w:styleId="UserStyle_101">
    <w:name w:val="u"/>
    <w:basedOn w:val="UserStyle_97"/>
    <w:next w:val="UserStyle_101"/>
    <w:link w:val="Normal"/>
  </w:style>
  <w:style w:type="character" w:styleId="UserStyle_102">
    <w:name w:val="Основной текст с отступом Знак"/>
    <w:next w:val="UserStyle_102"/>
    <w:link w:val="Normal"/>
    <w:rPr>
      <w:sz w:val="24"/>
      <w:szCs w:val="24"/>
      <w:lang w:val="ru-RU" w:eastAsia="ar-SA" w:bidi="ar-SA"/>
    </w:rPr>
  </w:style>
  <w:style w:type="paragraph" w:styleId="UserStyle_103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  <w:rPr>
      <w:rFonts w:cs="Arial"/>
    </w:rPr>
  </w:style>
  <w:style w:type="paragraph" w:styleId="UserStyle_104">
    <w:name w:val="Название"/>
    <w:basedOn w:val="Normal"/>
    <w:next w:val="UserStyle_104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105">
    <w:name w:val="Указатель"/>
    <w:basedOn w:val="Normal"/>
    <w:next w:val="UserStyle_105"/>
    <w:link w:val="Normal"/>
    <w:pPr>
      <w:suppressLineNumbers/>
    </w:pPr>
    <w:rPr>
      <w:rFonts w:cs="Arial"/>
    </w:rPr>
  </w:style>
  <w:style w:type="paragraph" w:styleId="UserStyle_106">
    <w:name w:val="Style28"/>
    <w:basedOn w:val="Normal"/>
    <w:next w:val="UserStyle_106"/>
    <w:link w:val="Normal"/>
    <w:pPr>
      <w:widowControl w:val="off"/>
    </w:pPr>
    <w:rPr>
      <w:rFonts w:ascii="Lucida Sans Unicode" w:hAnsi="Lucida Sans Unicode" w:cs="Lucida Sans Unicode"/>
    </w:rPr>
  </w:style>
  <w:style w:type="paragraph" w:styleId="UserStyle_107">
    <w:name w:val="Style13"/>
    <w:basedOn w:val="Normal"/>
    <w:next w:val="UserStyle_107"/>
    <w:link w:val="Normal"/>
    <w:pPr>
      <w:widowControl w:val="off"/>
      <w:spacing w:line="182" w:lineRule="exact"/>
      <w:ind w:left="0" w:right="0" w:firstLine="192"/>
      <w:jc w:val="both"/>
    </w:pPr>
    <w:rPr>
      <w:rFonts w:ascii="Lucida Sans Unicode" w:hAnsi="Lucida Sans Unicode" w:cs="Lucida Sans Unicode"/>
    </w:rPr>
  </w:style>
  <w:style w:type="paragraph" w:styleId="UserStyle_108">
    <w:name w:val="Style16"/>
    <w:basedOn w:val="Normal"/>
    <w:next w:val="UserStyle_108"/>
    <w:link w:val="Normal"/>
    <w:pPr>
      <w:widowControl w:val="off"/>
      <w:spacing w:line="182" w:lineRule="exact"/>
      <w:ind w:left="0" w:right="0" w:firstLine="192"/>
      <w:jc w:val="both"/>
    </w:pPr>
    <w:rPr>
      <w:rFonts w:ascii="Lucida Sans Unicode" w:hAnsi="Lucida Sans Unicode" w:cs="Lucida Sans Unicode"/>
    </w:rPr>
  </w:style>
  <w:style w:type="paragraph" w:styleId="BodyTextIndent">
    <w:name w:val="Основной текст с отступом"/>
    <w:basedOn w:val="Normal"/>
    <w:next w:val="BodyTextIndent"/>
    <w:link w:val="Normal"/>
    <w:pPr>
      <w:ind w:left="360" w:right="0" w:hanging="340"/>
    </w:pPr>
  </w:style>
  <w:style w:type="paragraph" w:styleId="UserStyle_109">
    <w:name w:val="Основной текст 2"/>
    <w:basedOn w:val="Normal"/>
    <w:next w:val="UserStyle_109"/>
    <w:pPr>
      <w:spacing w:before="0" w:after="120" w:line="480" w:lineRule="auto"/>
    </w:pPr>
  </w:style>
  <w:style w:type="paragraph" w:styleId="UserStyle_110">
    <w:name w:val="ConsPlusNormal"/>
    <w:next w:val="UserStyle_110"/>
    <w:link w:val="Normal"/>
    <w:pPr>
      <w:widowControl w:val="off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ar-SA" w:bidi="ar-SA"/>
    </w:rPr>
  </w:style>
  <w:style w:type="paragraph" w:styleId="UserStyle_111">
    <w:name w:val="formattext topleveltext centertext"/>
    <w:basedOn w:val="Normal"/>
    <w:next w:val="UserStyle_111"/>
    <w:link w:val="Normal"/>
    <w:pPr>
      <w:spacing w:before="280" w:after="28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</dc:title>
  <dc:creator>user</dc:creator>
  <cp:lastModifiedBy>Dkfl</cp:lastModifiedBy>
  <cp:revision>24</cp:revision>
  <dcterms:created xsi:type="dcterms:W3CDTF">2014-01-23T09:09:00Z</dcterms:created>
  <dcterms:modified xsi:type="dcterms:W3CDTF">2016-01-24T12:55:00Z</dcterms:modified>
</cp:coreProperties>
</file>